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47685AB"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3B3B14">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82214D">
        <w:rPr>
          <w:rFonts w:eastAsia="Times New Roman"/>
          <w:b/>
          <w:noProof/>
          <w:sz w:val="24"/>
        </w:rPr>
        <w:t>11297</w:t>
      </w:r>
      <w:bookmarkStart w:id="4" w:name="_GoBack"/>
      <w:bookmarkEnd w:id="4"/>
    </w:p>
    <w:p w14:paraId="38445688" w14:textId="4986524C" w:rsidR="00AC4CD8" w:rsidRDefault="003B3B14" w:rsidP="00AC4CD8">
      <w:pPr>
        <w:pStyle w:val="a0"/>
        <w:rPr>
          <w:rFonts w:eastAsia="SimSun"/>
          <w:bCs w:val="0"/>
          <w:sz w:val="24"/>
          <w:lang w:eastAsia="zh-CN"/>
        </w:rPr>
      </w:pPr>
      <w:bookmarkStart w:id="5" w:name="OLE_LINK1"/>
      <w:bookmarkStart w:id="6" w:name="OLE_LINK2"/>
      <w:r>
        <w:rPr>
          <w:rFonts w:eastAsia="SimSun"/>
          <w:bCs w:val="0"/>
          <w:sz w:val="24"/>
          <w:lang w:eastAsia="zh-CN"/>
        </w:rPr>
        <w:t>Online, 17 – 28 Aug</w:t>
      </w:r>
      <w:r w:rsidR="00AC4CD8" w:rsidRPr="009F4EEE">
        <w:rPr>
          <w:rFonts w:eastAsia="SimSun"/>
          <w:bCs w:val="0"/>
          <w:sz w:val="24"/>
          <w:lang w:eastAsia="zh-CN"/>
        </w:rPr>
        <w:t xml:space="preserve"> 20</w:t>
      </w:r>
      <w:bookmarkEnd w:id="5"/>
      <w:bookmarkEnd w:id="6"/>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88ED9E5"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347D8">
        <w:rPr>
          <w:rFonts w:ascii="Arial" w:hAnsi="Arial" w:cs="Arial"/>
          <w:sz w:val="22"/>
        </w:rPr>
        <w:t xml:space="preserve">IAB-MT </w:t>
      </w:r>
      <w:r w:rsidR="002613E1">
        <w:rPr>
          <w:rFonts w:ascii="Arial" w:hAnsi="Arial" w:cs="Arial"/>
          <w:sz w:val="22"/>
        </w:rPr>
        <w:t>Tx emissions</w:t>
      </w:r>
    </w:p>
    <w:p w14:paraId="0F34F3E0" w14:textId="71F878AD"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E2CBD">
        <w:rPr>
          <w:rFonts w:ascii="Arial" w:hAnsi="Arial" w:cs="Arial"/>
          <w:sz w:val="22"/>
        </w:rPr>
        <w:t>7.4.2.1.</w:t>
      </w:r>
      <w:r w:rsidR="002613E1">
        <w:rPr>
          <w:rFonts w:ascii="Arial" w:hAnsi="Arial" w:cs="Arial"/>
          <w:sz w:val="22"/>
        </w:rPr>
        <w:t>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0933B3FF" w14:textId="02F7EDF3" w:rsidR="002613E1" w:rsidRDefault="008347D8" w:rsidP="002613E1">
      <w:pPr>
        <w:rPr>
          <w:rFonts w:eastAsia="SimSun"/>
          <w:lang w:eastAsia="zh-CN"/>
        </w:rPr>
      </w:pPr>
      <w:r>
        <w:rPr>
          <w:rFonts w:eastAsia="SimSun"/>
          <w:lang w:eastAsia="zh-CN"/>
        </w:rPr>
        <w:t xml:space="preserve">In the last meeting </w:t>
      </w:r>
      <w:r w:rsidR="002613E1">
        <w:rPr>
          <w:rFonts w:eastAsia="SimSun"/>
          <w:lang w:eastAsia="zh-CN"/>
        </w:rPr>
        <w:t>the WF [1] was approved with a number of agreements on the IAB-MT Tx emissions and a number of open issues. In general the WA IAB-MT has been agreed and the open issues are ba</w:t>
      </w:r>
      <w:r w:rsidR="00442B62">
        <w:rPr>
          <w:rFonts w:eastAsia="SimSun"/>
          <w:lang w:eastAsia="zh-CN"/>
        </w:rPr>
        <w:t>s</w:t>
      </w:r>
      <w:r w:rsidR="002613E1">
        <w:rPr>
          <w:rFonts w:eastAsia="SimSun"/>
          <w:lang w:eastAsia="zh-CN"/>
        </w:rPr>
        <w:t>ed around the LA IB-MT.</w:t>
      </w:r>
    </w:p>
    <w:p w14:paraId="0E5565F3" w14:textId="2843CF3C" w:rsidR="00AE2CBD" w:rsidRPr="00AE2CBD" w:rsidRDefault="002613E1" w:rsidP="002613E1">
      <w:pPr>
        <w:rPr>
          <w:rFonts w:eastAsia="SimSun"/>
          <w:lang w:eastAsia="zh-CN"/>
        </w:rPr>
      </w:pPr>
      <w:r>
        <w:rPr>
          <w:rFonts w:eastAsia="SimSun"/>
          <w:lang w:eastAsia="zh-CN"/>
        </w:rPr>
        <w:t>T</w:t>
      </w:r>
      <w:r w:rsidR="00AE2CBD">
        <w:rPr>
          <w:rFonts w:eastAsia="SimSun"/>
          <w:lang w:eastAsia="zh-CN"/>
        </w:rPr>
        <w:t>his</w:t>
      </w:r>
      <w:r>
        <w:rPr>
          <w:rFonts w:eastAsia="SimSun"/>
          <w:lang w:eastAsia="zh-CN"/>
        </w:rPr>
        <w:t xml:space="preserve"> document further discusses our views on the open issues.</w:t>
      </w:r>
    </w:p>
    <w:p w14:paraId="3533296E" w14:textId="1B4649D2" w:rsidR="004E69AA" w:rsidRDefault="008347D8" w:rsidP="000169FE">
      <w:pPr>
        <w:pStyle w:val="Heading1"/>
        <w:numPr>
          <w:ilvl w:val="0"/>
          <w:numId w:val="2"/>
        </w:numPr>
        <w:rPr>
          <w:lang w:eastAsia="sv-SE"/>
        </w:rPr>
      </w:pPr>
      <w:r>
        <w:rPr>
          <w:lang w:eastAsia="sv-SE"/>
        </w:rPr>
        <w:t>Discussion</w:t>
      </w:r>
    </w:p>
    <w:bookmarkEnd w:id="2"/>
    <w:bookmarkEnd w:id="3"/>
    <w:p w14:paraId="5C335738" w14:textId="61871D58" w:rsidR="006971D0" w:rsidRDefault="002613E1" w:rsidP="00B72197">
      <w:pPr>
        <w:rPr>
          <w:lang w:eastAsia="sv-SE"/>
        </w:rPr>
      </w:pPr>
      <w:r>
        <w:rPr>
          <w:lang w:eastAsia="sv-SE"/>
        </w:rPr>
        <w:t>The emissions requirements are split into ACLR, OBUE and spurious emissions.</w:t>
      </w:r>
    </w:p>
    <w:p w14:paraId="1C8DFDE8" w14:textId="496CEA3D" w:rsidR="002613E1" w:rsidRDefault="002613E1" w:rsidP="002613E1">
      <w:pPr>
        <w:pStyle w:val="Heading2"/>
        <w:numPr>
          <w:ilvl w:val="1"/>
          <w:numId w:val="2"/>
        </w:numPr>
        <w:rPr>
          <w:lang w:eastAsia="sv-SE"/>
        </w:rPr>
      </w:pPr>
      <w:r>
        <w:rPr>
          <w:lang w:eastAsia="sv-SE"/>
        </w:rPr>
        <w:t>ACLR</w:t>
      </w:r>
    </w:p>
    <w:p w14:paraId="177D9FEC" w14:textId="0A739C5B" w:rsidR="002613E1" w:rsidRPr="002613E1" w:rsidRDefault="002613E1" w:rsidP="002613E1">
      <w:pPr>
        <w:rPr>
          <w:lang w:eastAsia="sv-SE"/>
        </w:rPr>
      </w:pPr>
      <w:r>
        <w:rPr>
          <w:lang w:eastAsia="sv-SE"/>
        </w:rPr>
        <w:t>The open issues from the WF are as follows:</w:t>
      </w:r>
    </w:p>
    <w:p w14:paraId="3803442F" w14:textId="77777777" w:rsidR="004E55FB" w:rsidRPr="002613E1" w:rsidRDefault="00C14F2D" w:rsidP="002613E1">
      <w:pPr>
        <w:numPr>
          <w:ilvl w:val="0"/>
          <w:numId w:val="13"/>
        </w:numPr>
        <w:rPr>
          <w:lang w:val="en-US"/>
        </w:rPr>
      </w:pPr>
      <w:r w:rsidRPr="002613E1">
        <w:rPr>
          <w:lang w:val="fi-FI"/>
        </w:rPr>
        <w:t>IAB-MT ACLR minimum requirement in FR1</w:t>
      </w:r>
    </w:p>
    <w:p w14:paraId="058774DD" w14:textId="77777777" w:rsidR="004E55FB" w:rsidRPr="002613E1" w:rsidRDefault="00C14F2D" w:rsidP="002613E1">
      <w:pPr>
        <w:numPr>
          <w:ilvl w:val="1"/>
          <w:numId w:val="13"/>
        </w:numPr>
        <w:rPr>
          <w:lang w:val="en-US"/>
        </w:rPr>
      </w:pPr>
      <w:r w:rsidRPr="002613E1">
        <w:rPr>
          <w:lang w:val="fi-FI"/>
        </w:rPr>
        <w:t xml:space="preserve">FFS for Local area IAB-MT, </w:t>
      </w:r>
      <w:r w:rsidRPr="002613E1">
        <w:rPr>
          <w:lang w:val="en-US"/>
        </w:rPr>
        <w:t>make decision in Q3 2020</w:t>
      </w:r>
      <w:r w:rsidRPr="002613E1">
        <w:rPr>
          <w:lang w:val="fi-FI"/>
        </w:rPr>
        <w:t xml:space="preserve">:  </w:t>
      </w:r>
    </w:p>
    <w:p w14:paraId="389AFBC2" w14:textId="77777777" w:rsidR="004E55FB" w:rsidRPr="002613E1" w:rsidRDefault="00C14F2D" w:rsidP="002613E1">
      <w:pPr>
        <w:numPr>
          <w:ilvl w:val="2"/>
          <w:numId w:val="13"/>
        </w:numPr>
        <w:rPr>
          <w:lang w:val="en-US"/>
        </w:rPr>
      </w:pPr>
      <w:r w:rsidRPr="002613E1">
        <w:rPr>
          <w:lang w:val="fi-FI"/>
        </w:rPr>
        <w:t>Option 1: 45dBc</w:t>
      </w:r>
    </w:p>
    <w:p w14:paraId="2CB9012B" w14:textId="77777777" w:rsidR="004E55FB" w:rsidRPr="002613E1" w:rsidRDefault="00C14F2D" w:rsidP="002613E1">
      <w:pPr>
        <w:numPr>
          <w:ilvl w:val="2"/>
          <w:numId w:val="13"/>
        </w:numPr>
        <w:rPr>
          <w:lang w:val="en-US"/>
        </w:rPr>
      </w:pPr>
      <w:r w:rsidRPr="002613E1">
        <w:rPr>
          <w:lang w:val="fi-FI"/>
        </w:rPr>
        <w:t>Option 2: 30dBc</w:t>
      </w:r>
    </w:p>
    <w:p w14:paraId="18FB4CEC" w14:textId="77777777" w:rsidR="004E55FB" w:rsidRPr="002613E1" w:rsidRDefault="00C14F2D" w:rsidP="002613E1">
      <w:pPr>
        <w:numPr>
          <w:ilvl w:val="0"/>
          <w:numId w:val="13"/>
        </w:numPr>
        <w:rPr>
          <w:lang w:val="en-US"/>
        </w:rPr>
      </w:pPr>
      <w:r w:rsidRPr="002613E1">
        <w:rPr>
          <w:lang w:val="fi-FI"/>
        </w:rPr>
        <w:t>Absolute ACLR to be discussed further in future meetings.</w:t>
      </w:r>
    </w:p>
    <w:p w14:paraId="06370C01" w14:textId="365A9935" w:rsidR="00DB2685" w:rsidRDefault="002613E1" w:rsidP="002613E1">
      <w:r>
        <w:rPr>
          <w:lang w:val="en-US"/>
        </w:rPr>
        <w:t xml:space="preserve">The relationship between relative ACLR </w:t>
      </w:r>
      <w:r w:rsidR="00DB2685">
        <w:rPr>
          <w:lang w:val="en-US"/>
        </w:rPr>
        <w:t>and</w:t>
      </w:r>
      <w:r>
        <w:rPr>
          <w:lang w:val="en-US"/>
        </w:rPr>
        <w:t xml:space="preserve"> the Tx dynamic range has been discussed for some time and the 2 parameters are clearly </w:t>
      </w:r>
      <w:r w:rsidR="00DB2685">
        <w:rPr>
          <w:lang w:val="en-US"/>
        </w:rPr>
        <w:t>related</w:t>
      </w:r>
      <w:r>
        <w:rPr>
          <w:lang w:val="en-US"/>
        </w:rPr>
        <w:t>. I</w:t>
      </w:r>
      <w:r w:rsidR="00DB2685">
        <w:rPr>
          <w:lang w:val="en-US"/>
        </w:rPr>
        <w:t>n ou</w:t>
      </w:r>
      <w:r>
        <w:rPr>
          <w:lang w:val="en-US"/>
        </w:rPr>
        <w:t xml:space="preserve">r </w:t>
      </w:r>
      <w:r w:rsidR="00DB2685">
        <w:rPr>
          <w:lang w:val="en-US"/>
        </w:rPr>
        <w:t>simulations for</w:t>
      </w:r>
      <w:r>
        <w:rPr>
          <w:lang w:val="en-US"/>
        </w:rPr>
        <w:t xml:space="preserve"> layout 1 (which resembles the LA scenarios discussed) we found </w:t>
      </w:r>
      <w:r>
        <w:t>avera</w:t>
      </w:r>
      <w:r w:rsidR="00DB2685">
        <w:t>ge 5% degradation occurred with:</w:t>
      </w:r>
    </w:p>
    <w:p w14:paraId="5F118332" w14:textId="77777777" w:rsidR="00DB2685" w:rsidRDefault="002613E1" w:rsidP="00DB2685">
      <w:pPr>
        <w:ind w:firstLine="284"/>
      </w:pPr>
      <w:r>
        <w:t xml:space="preserve">15dB DR and 40dBc ACLR </w:t>
      </w:r>
    </w:p>
    <w:p w14:paraId="4E7E9DA9" w14:textId="3DE2F05A" w:rsidR="00DB2685" w:rsidRDefault="002613E1" w:rsidP="00DB2685">
      <w:pPr>
        <w:ind w:firstLine="284"/>
      </w:pPr>
      <w:r>
        <w:t xml:space="preserve">or </w:t>
      </w:r>
    </w:p>
    <w:p w14:paraId="7AE63EDA" w14:textId="6A7329A5" w:rsidR="002613E1" w:rsidRDefault="002613E1" w:rsidP="00DB2685">
      <w:pPr>
        <w:ind w:firstLine="284"/>
      </w:pPr>
      <w:r>
        <w:t>13dB DR with 45dBc ACLR.</w:t>
      </w:r>
    </w:p>
    <w:p w14:paraId="25108E89" w14:textId="68BAFDBF" w:rsidR="002613E1" w:rsidRDefault="00DB2685" w:rsidP="002613E1">
      <w:r>
        <w:rPr>
          <w:rFonts w:hint="eastAsia"/>
        </w:rPr>
        <w:t>A</w:t>
      </w:r>
      <w:r>
        <w:t>s in the last meeting it was agreed that the LA Tx dynamic range would be 10dB then based on our simulation results it is necessary to have 45dBc ACLR. The 30dBc ACLR value is significantly lower and would results in significant degradation based on our results</w:t>
      </w:r>
    </w:p>
    <w:p w14:paraId="33B2576F" w14:textId="27F4CE69" w:rsidR="00DB2685" w:rsidRDefault="00DB2685" w:rsidP="002613E1">
      <w:r w:rsidRPr="00DB2685">
        <w:rPr>
          <w:b/>
        </w:rPr>
        <w:t>Proposal 1:</w:t>
      </w:r>
      <w:r>
        <w:t xml:space="preserve"> For LA IAB-MT relative ACLR is 45dBc</w:t>
      </w:r>
    </w:p>
    <w:p w14:paraId="68A56C44" w14:textId="52D88B92" w:rsidR="00DB2685" w:rsidRDefault="00DB2685" w:rsidP="002613E1">
      <w:r>
        <w:t>There also remains an open issue for the FR2 LA IAB-MT if transmitting in the DL, we think if te DL is used for transmission then considering the deployment of the system is like a BS (and the IAB-DU meets all the BS requirements) it is appropriate that the IAB-MT meets the BS requirements also</w:t>
      </w:r>
    </w:p>
    <w:p w14:paraId="4A0F951E" w14:textId="4BAE9522" w:rsidR="00DB2685" w:rsidRDefault="00DB2685" w:rsidP="002613E1">
      <w:r w:rsidRPr="00DB2685">
        <w:rPr>
          <w:b/>
        </w:rPr>
        <w:t>Proposal 2</w:t>
      </w:r>
      <w:r>
        <w:t>: for IAB-MT transmitting in DL the BS ACLR is met.</w:t>
      </w:r>
    </w:p>
    <w:p w14:paraId="4EF1A431" w14:textId="789E4746" w:rsidR="00442B62" w:rsidRDefault="00442B62" w:rsidP="002613E1">
      <w:r>
        <w:lastRenderedPageBreak/>
        <w:t>The Absolute ACLR requirements are tied to both the OBUE requirements and the relative ACLR requirements, as we believe the BS relative ACLR requirements are needed then the absolute ACLR requirements should also follow the BS</w:t>
      </w:r>
    </w:p>
    <w:p w14:paraId="5C6B0BAC" w14:textId="3CA8EF68" w:rsidR="00442B62" w:rsidRDefault="00442B62" w:rsidP="00442B62">
      <w:r w:rsidRPr="00DB2685">
        <w:rPr>
          <w:b/>
        </w:rPr>
        <w:t xml:space="preserve">Proposal </w:t>
      </w:r>
      <w:r>
        <w:rPr>
          <w:b/>
        </w:rPr>
        <w:t>3</w:t>
      </w:r>
      <w:r>
        <w:t>: BS absolute ACLR requirements are adopted.</w:t>
      </w:r>
    </w:p>
    <w:p w14:paraId="7792F918" w14:textId="77777777" w:rsidR="00442B62" w:rsidRPr="00442B62" w:rsidRDefault="00442B62" w:rsidP="002613E1"/>
    <w:p w14:paraId="525C116E" w14:textId="709CBFDC" w:rsidR="002613E1" w:rsidRDefault="002613E1" w:rsidP="002613E1">
      <w:pPr>
        <w:pStyle w:val="Heading2"/>
        <w:numPr>
          <w:ilvl w:val="1"/>
          <w:numId w:val="2"/>
        </w:numPr>
        <w:rPr>
          <w:lang w:eastAsia="sv-SE"/>
        </w:rPr>
      </w:pPr>
      <w:r>
        <w:rPr>
          <w:lang w:eastAsia="sv-SE"/>
        </w:rPr>
        <w:t>OBUE</w:t>
      </w:r>
      <w:r w:rsidR="009F24F9">
        <w:rPr>
          <w:lang w:eastAsia="sv-SE"/>
        </w:rPr>
        <w:t xml:space="preserve"> and SEM</w:t>
      </w:r>
    </w:p>
    <w:p w14:paraId="53D3003F" w14:textId="77777777" w:rsidR="002613E1" w:rsidRPr="002613E1" w:rsidRDefault="002613E1" w:rsidP="00DB2685">
      <w:pPr>
        <w:rPr>
          <w:lang w:eastAsia="sv-SE"/>
        </w:rPr>
      </w:pPr>
      <w:r>
        <w:rPr>
          <w:lang w:eastAsia="sv-SE"/>
        </w:rPr>
        <w:t>The open issues from the WF are as follows:</w:t>
      </w:r>
    </w:p>
    <w:p w14:paraId="669E4F75" w14:textId="77777777" w:rsidR="004E55FB" w:rsidRPr="002613E1" w:rsidRDefault="00C14F2D" w:rsidP="002613E1">
      <w:pPr>
        <w:numPr>
          <w:ilvl w:val="0"/>
          <w:numId w:val="13"/>
        </w:numPr>
        <w:rPr>
          <w:lang w:val="en-US"/>
        </w:rPr>
      </w:pPr>
      <w:r w:rsidRPr="002613E1">
        <w:rPr>
          <w:lang w:val="fi-FI"/>
        </w:rPr>
        <w:t>For FR2:</w:t>
      </w:r>
    </w:p>
    <w:p w14:paraId="625B2946" w14:textId="77777777" w:rsidR="004E55FB" w:rsidRPr="002613E1" w:rsidRDefault="00C14F2D" w:rsidP="002613E1">
      <w:pPr>
        <w:numPr>
          <w:ilvl w:val="1"/>
          <w:numId w:val="13"/>
        </w:numPr>
        <w:rPr>
          <w:lang w:val="en-US"/>
        </w:rPr>
      </w:pPr>
      <w:r w:rsidRPr="002613E1">
        <w:rPr>
          <w:lang w:val="fi-FI"/>
        </w:rPr>
        <w:t xml:space="preserve">Wide area IAB-MT: Wide Area IAB-MT shall meet [wide area] BS OBUE requirements </w:t>
      </w:r>
    </w:p>
    <w:p w14:paraId="5E4B4BB4" w14:textId="77777777" w:rsidR="004E55FB" w:rsidRPr="002613E1" w:rsidRDefault="00C14F2D" w:rsidP="002613E1">
      <w:pPr>
        <w:numPr>
          <w:ilvl w:val="2"/>
          <w:numId w:val="13"/>
        </w:numPr>
        <w:rPr>
          <w:lang w:val="en-US"/>
        </w:rPr>
      </w:pPr>
      <w:r w:rsidRPr="002613E1">
        <w:rPr>
          <w:lang w:val="fi-FI"/>
        </w:rPr>
        <w:t xml:space="preserve">We can further discuss  how to capture the requirements into TS/TR. </w:t>
      </w:r>
    </w:p>
    <w:p w14:paraId="09A41A1A" w14:textId="77777777" w:rsidR="004E55FB" w:rsidRPr="002613E1" w:rsidRDefault="00C14F2D" w:rsidP="002613E1">
      <w:pPr>
        <w:numPr>
          <w:ilvl w:val="1"/>
          <w:numId w:val="13"/>
        </w:numPr>
        <w:rPr>
          <w:lang w:val="en-US"/>
        </w:rPr>
      </w:pPr>
      <w:r w:rsidRPr="002613E1">
        <w:rPr>
          <w:lang w:val="fi-FI"/>
        </w:rPr>
        <w:t>FFS for local area IAB-MT, make decision in Q3 2020</w:t>
      </w:r>
    </w:p>
    <w:p w14:paraId="778A0586" w14:textId="77777777" w:rsidR="004E55FB" w:rsidRPr="002613E1" w:rsidRDefault="00C14F2D" w:rsidP="002613E1">
      <w:pPr>
        <w:numPr>
          <w:ilvl w:val="2"/>
          <w:numId w:val="13"/>
        </w:numPr>
        <w:rPr>
          <w:lang w:val="en-US"/>
        </w:rPr>
      </w:pPr>
      <w:r w:rsidRPr="002613E1">
        <w:rPr>
          <w:lang w:val="fi-FI"/>
        </w:rPr>
        <w:t xml:space="preserve">Option 1: Using Local area BS OBUE requirements </w:t>
      </w:r>
    </w:p>
    <w:p w14:paraId="0502DAB9" w14:textId="77777777" w:rsidR="004E55FB" w:rsidRPr="002613E1" w:rsidRDefault="00C14F2D" w:rsidP="002613E1">
      <w:pPr>
        <w:numPr>
          <w:ilvl w:val="2"/>
          <w:numId w:val="13"/>
        </w:numPr>
        <w:rPr>
          <w:lang w:val="en-US"/>
        </w:rPr>
      </w:pPr>
      <w:r w:rsidRPr="002613E1">
        <w:rPr>
          <w:lang w:val="fi-FI"/>
        </w:rPr>
        <w:t>Option 2</w:t>
      </w:r>
      <w:r w:rsidRPr="002613E1">
        <w:rPr>
          <w:lang w:val="en-US"/>
        </w:rPr>
        <w:t xml:space="preserve">: Using UE specification requirements </w:t>
      </w:r>
    </w:p>
    <w:p w14:paraId="598D9431" w14:textId="77777777" w:rsidR="004E55FB" w:rsidRPr="002613E1" w:rsidRDefault="00C14F2D" w:rsidP="002613E1">
      <w:pPr>
        <w:numPr>
          <w:ilvl w:val="0"/>
          <w:numId w:val="13"/>
        </w:numPr>
        <w:rPr>
          <w:lang w:val="en-US"/>
        </w:rPr>
      </w:pPr>
      <w:r w:rsidRPr="002613E1">
        <w:rPr>
          <w:lang w:val="fi-FI"/>
        </w:rPr>
        <w:t>For FR1</w:t>
      </w:r>
    </w:p>
    <w:p w14:paraId="277B035A" w14:textId="77777777" w:rsidR="004E55FB" w:rsidRPr="002613E1" w:rsidRDefault="00C14F2D" w:rsidP="002613E1">
      <w:pPr>
        <w:numPr>
          <w:ilvl w:val="1"/>
          <w:numId w:val="13"/>
        </w:numPr>
        <w:rPr>
          <w:lang w:val="en-US"/>
        </w:rPr>
      </w:pPr>
      <w:r w:rsidRPr="002613E1">
        <w:rPr>
          <w:lang w:val="fi-FI"/>
        </w:rPr>
        <w:t>Wide Area IAB-MT shall meet [wide area] BS OBUE requirements</w:t>
      </w:r>
    </w:p>
    <w:p w14:paraId="353C6E96" w14:textId="77777777" w:rsidR="004E55FB" w:rsidRPr="002613E1" w:rsidRDefault="00C14F2D" w:rsidP="002613E1">
      <w:pPr>
        <w:numPr>
          <w:ilvl w:val="2"/>
          <w:numId w:val="13"/>
        </w:numPr>
        <w:rPr>
          <w:lang w:val="en-US"/>
        </w:rPr>
      </w:pPr>
      <w:r w:rsidRPr="002613E1">
        <w:rPr>
          <w:lang w:val="fi-FI"/>
        </w:rPr>
        <w:t xml:space="preserve">We can further discuss  how to capture the requirements into TS/TR. </w:t>
      </w:r>
    </w:p>
    <w:p w14:paraId="6A6B30A1" w14:textId="77777777" w:rsidR="004E55FB" w:rsidRPr="002613E1" w:rsidRDefault="00C14F2D" w:rsidP="002613E1">
      <w:pPr>
        <w:numPr>
          <w:ilvl w:val="1"/>
          <w:numId w:val="13"/>
        </w:numPr>
        <w:rPr>
          <w:lang w:val="en-US"/>
        </w:rPr>
      </w:pPr>
      <w:r w:rsidRPr="002613E1">
        <w:rPr>
          <w:lang w:val="fi-FI"/>
        </w:rPr>
        <w:t>FFS for local area IAB-MT</w:t>
      </w:r>
    </w:p>
    <w:p w14:paraId="2D357CE9" w14:textId="77777777" w:rsidR="004E55FB" w:rsidRPr="002613E1" w:rsidRDefault="00C14F2D" w:rsidP="002613E1">
      <w:pPr>
        <w:numPr>
          <w:ilvl w:val="2"/>
          <w:numId w:val="13"/>
        </w:numPr>
        <w:rPr>
          <w:lang w:val="en-US"/>
        </w:rPr>
      </w:pPr>
      <w:r w:rsidRPr="002613E1">
        <w:rPr>
          <w:lang w:val="fi-FI"/>
        </w:rPr>
        <w:t xml:space="preserve">Option 1: Using Local area BS OBUE requirements </w:t>
      </w:r>
    </w:p>
    <w:p w14:paraId="7805CA1D" w14:textId="77777777" w:rsidR="004E55FB" w:rsidRPr="002613E1" w:rsidRDefault="00C14F2D" w:rsidP="002613E1">
      <w:pPr>
        <w:numPr>
          <w:ilvl w:val="2"/>
          <w:numId w:val="13"/>
        </w:numPr>
        <w:rPr>
          <w:lang w:val="en-US"/>
        </w:rPr>
      </w:pPr>
      <w:r w:rsidRPr="002613E1">
        <w:rPr>
          <w:lang w:val="fi-FI"/>
        </w:rPr>
        <w:t>Option 2</w:t>
      </w:r>
      <w:r w:rsidRPr="002613E1">
        <w:rPr>
          <w:lang w:val="en-US"/>
        </w:rPr>
        <w:t xml:space="preserve">: Using UE specification requirements </w:t>
      </w:r>
    </w:p>
    <w:p w14:paraId="1127A1B7" w14:textId="77777777" w:rsidR="004E55FB" w:rsidRPr="002613E1" w:rsidRDefault="00C14F2D" w:rsidP="002613E1">
      <w:pPr>
        <w:numPr>
          <w:ilvl w:val="0"/>
          <w:numId w:val="13"/>
        </w:numPr>
        <w:rPr>
          <w:lang w:val="en-US"/>
        </w:rPr>
      </w:pPr>
      <w:r w:rsidRPr="002613E1">
        <w:rPr>
          <w:lang w:val="fi-FI"/>
        </w:rPr>
        <w:t>FR1 and FR2 the boundary between in-band and spurious region</w:t>
      </w:r>
    </w:p>
    <w:p w14:paraId="3873A19A" w14:textId="77777777" w:rsidR="004E55FB" w:rsidRPr="002613E1" w:rsidRDefault="00C14F2D" w:rsidP="002613E1">
      <w:pPr>
        <w:numPr>
          <w:ilvl w:val="1"/>
          <w:numId w:val="13"/>
        </w:numPr>
        <w:rPr>
          <w:lang w:val="en-US"/>
        </w:rPr>
      </w:pPr>
      <w:r w:rsidRPr="002613E1">
        <w:rPr>
          <w:lang w:val="fi-FI"/>
        </w:rPr>
        <w:t>Wide-area IAB-MT: follow BS requirements</w:t>
      </w:r>
    </w:p>
    <w:p w14:paraId="470B6CA8" w14:textId="77777777" w:rsidR="004E55FB" w:rsidRPr="009F24F9" w:rsidRDefault="00C14F2D" w:rsidP="002613E1">
      <w:pPr>
        <w:numPr>
          <w:ilvl w:val="1"/>
          <w:numId w:val="13"/>
        </w:numPr>
        <w:rPr>
          <w:lang w:val="en-US"/>
        </w:rPr>
      </w:pPr>
      <w:r w:rsidRPr="002613E1">
        <w:rPr>
          <w:lang w:val="fi-FI"/>
        </w:rPr>
        <w:t>Local-area IAB-MT: FFS</w:t>
      </w:r>
    </w:p>
    <w:p w14:paraId="23E74388" w14:textId="1EB77F33" w:rsidR="009F24F9" w:rsidRDefault="009F24F9" w:rsidP="009F24F9">
      <w:pPr>
        <w:rPr>
          <w:lang w:val="en-US"/>
        </w:rPr>
      </w:pPr>
      <w:r>
        <w:rPr>
          <w:rFonts w:hint="eastAsia"/>
          <w:lang w:val="en-US"/>
        </w:rPr>
        <w:t>W</w:t>
      </w:r>
      <w:r>
        <w:rPr>
          <w:lang w:val="en-US"/>
        </w:rPr>
        <w:t>e believe that the 1</w:t>
      </w:r>
      <w:r w:rsidRPr="009F24F9">
        <w:rPr>
          <w:vertAlign w:val="superscript"/>
          <w:lang w:val="en-US"/>
        </w:rPr>
        <w:t>st</w:t>
      </w:r>
      <w:r>
        <w:rPr>
          <w:lang w:val="en-US"/>
        </w:rPr>
        <w:t xml:space="preserve"> 2 points are somewhat related to the 3</w:t>
      </w:r>
      <w:r w:rsidRPr="009F24F9">
        <w:rPr>
          <w:vertAlign w:val="superscript"/>
          <w:lang w:val="en-US"/>
        </w:rPr>
        <w:t>rd</w:t>
      </w:r>
      <w:r>
        <w:rPr>
          <w:lang w:val="en-US"/>
        </w:rPr>
        <w:t xml:space="preserve"> and hence also the spurious emissions requirements. The spurious emissions requirements are fundamentally aligned with regulatory requirements. The toughest of which are the European CAT B requirements. These are based on the SE21 74-01 recommendations.</w:t>
      </w:r>
    </w:p>
    <w:p w14:paraId="668C8E19" w14:textId="210EB826" w:rsidR="009F24F9" w:rsidRDefault="009F24F9" w:rsidP="009F24F9">
      <w:pPr>
        <w:rPr>
          <w:lang w:val="en-US"/>
        </w:rPr>
      </w:pPr>
      <w:r>
        <w:rPr>
          <w:lang w:val="en-US"/>
        </w:rPr>
        <w:t>Whilst an IAB-MT node is not explicitly defined n these recommendations we can assume it should either be treated as a BS or a UE. The differences between the BS and the UE requirements are not great, but the main differences are in the exclusions around the carrier, allowing for a band centric emissions approach for the BS or a carrier centric approach with the UE, hence the BS specification have OBUE requirements and the UE have SEM requirements. The difference in approach between the 2 effects how the boundaries are handled and how the in-band emissions requirements merge with eth out of spurious requirements.</w:t>
      </w:r>
    </w:p>
    <w:p w14:paraId="7C24B3E1" w14:textId="2EC28469" w:rsidR="009F24F9" w:rsidRDefault="009F24F9" w:rsidP="009F24F9">
      <w:pPr>
        <w:rPr>
          <w:lang w:val="en-US"/>
        </w:rPr>
      </w:pPr>
      <w:r>
        <w:rPr>
          <w:lang w:val="en-US"/>
        </w:rPr>
        <w:t xml:space="preserve">There are arguments for using either BS or UE methodologies for the IAB-MT however it is difficult to justify that the WA and LA should be treated differently as we already treat BS of all classes the same when it comes to this regulation. If the argument is that it transmits in the UL so it should be treated as a UE is valid, then we should adopt the UE approach. If the argument that it is deployed like as BS is valid then we should use the BS approach. </w:t>
      </w:r>
    </w:p>
    <w:p w14:paraId="775E7E84" w14:textId="187446CF" w:rsidR="009F24F9" w:rsidRDefault="009F24F9" w:rsidP="009F24F9">
      <w:pPr>
        <w:rPr>
          <w:lang w:val="en-US"/>
        </w:rPr>
      </w:pPr>
      <w:r>
        <w:rPr>
          <w:lang w:val="en-US"/>
        </w:rPr>
        <w:t xml:space="preserve">We have always </w:t>
      </w:r>
      <w:r w:rsidR="00442B62">
        <w:rPr>
          <w:lang w:val="en-US"/>
        </w:rPr>
        <w:t>favored</w:t>
      </w:r>
      <w:r>
        <w:rPr>
          <w:lang w:val="en-US"/>
        </w:rPr>
        <w:t xml:space="preserve"> the deployment argument and this has already been agreed for the WA IAB-MT hence we </w:t>
      </w:r>
      <w:r w:rsidR="00442B62">
        <w:rPr>
          <w:lang w:val="en-US"/>
        </w:rPr>
        <w:t>believe</w:t>
      </w:r>
      <w:r>
        <w:rPr>
          <w:lang w:val="en-US"/>
        </w:rPr>
        <w:t xml:space="preserve"> it should be adopted for the LA also. </w:t>
      </w:r>
    </w:p>
    <w:p w14:paraId="0968FA60" w14:textId="6DB7893F" w:rsidR="00442B62" w:rsidRDefault="00442B62" w:rsidP="009F24F9">
      <w:pPr>
        <w:rPr>
          <w:lang w:val="en-US"/>
        </w:rPr>
      </w:pPr>
      <w:r>
        <w:rPr>
          <w:rFonts w:hint="eastAsia"/>
          <w:lang w:val="en-US"/>
        </w:rPr>
        <w:t>AS</w:t>
      </w:r>
      <w:r>
        <w:rPr>
          <w:lang w:val="en-US"/>
        </w:rPr>
        <w:t xml:space="preserve"> the boundary should follow the BS approach then it follows that the band centric OBURE approach should be adopted and the BS OBUE requirements are applied to the LA IAB-MT</w:t>
      </w:r>
    </w:p>
    <w:p w14:paraId="351920A9" w14:textId="5355A770" w:rsidR="00442B62" w:rsidRPr="002613E1" w:rsidRDefault="00442B62" w:rsidP="009F24F9">
      <w:pPr>
        <w:rPr>
          <w:lang w:val="en-US"/>
        </w:rPr>
      </w:pPr>
      <w:r w:rsidRPr="00442B62">
        <w:rPr>
          <w:b/>
          <w:lang w:val="en-US"/>
        </w:rPr>
        <w:t>Proposal 4:</w:t>
      </w:r>
      <w:r>
        <w:rPr>
          <w:lang w:val="en-US"/>
        </w:rPr>
        <w:t xml:space="preserve"> the BS OBUE requirements are used for LA IAB-MT </w:t>
      </w:r>
    </w:p>
    <w:p w14:paraId="7FD18025" w14:textId="75A5767C" w:rsidR="002613E1" w:rsidRPr="002613E1" w:rsidRDefault="002613E1" w:rsidP="002613E1">
      <w:pPr>
        <w:pStyle w:val="Heading2"/>
        <w:numPr>
          <w:ilvl w:val="1"/>
          <w:numId w:val="17"/>
        </w:numPr>
        <w:rPr>
          <w:lang w:eastAsia="sv-SE"/>
        </w:rPr>
      </w:pPr>
      <w:r>
        <w:rPr>
          <w:lang w:eastAsia="sv-SE"/>
        </w:rPr>
        <w:lastRenderedPageBreak/>
        <w:t>Spurious emissions</w:t>
      </w:r>
    </w:p>
    <w:p w14:paraId="0B3C7768" w14:textId="77777777" w:rsidR="004E55FB" w:rsidRPr="002613E1" w:rsidRDefault="00C14F2D" w:rsidP="002613E1">
      <w:pPr>
        <w:numPr>
          <w:ilvl w:val="0"/>
          <w:numId w:val="13"/>
        </w:numPr>
        <w:rPr>
          <w:lang w:val="en-US"/>
        </w:rPr>
      </w:pPr>
      <w:r w:rsidRPr="002613E1">
        <w:rPr>
          <w:lang w:val="fi-FI"/>
        </w:rPr>
        <w:t>FR1/FR2 Tx spurious emissions</w:t>
      </w:r>
    </w:p>
    <w:p w14:paraId="29BD8A07" w14:textId="77777777" w:rsidR="004E55FB" w:rsidRPr="002613E1" w:rsidRDefault="00C14F2D" w:rsidP="002613E1">
      <w:pPr>
        <w:numPr>
          <w:ilvl w:val="1"/>
          <w:numId w:val="13"/>
        </w:numPr>
        <w:rPr>
          <w:lang w:val="en-US"/>
        </w:rPr>
      </w:pPr>
      <w:r w:rsidRPr="002613E1">
        <w:rPr>
          <w:lang w:val="fi-FI"/>
        </w:rPr>
        <w:t>Wide-area IAB-MT: The same spurious emissions requirements as base stations (category A and category B)</w:t>
      </w:r>
    </w:p>
    <w:p w14:paraId="6764FFB0" w14:textId="77777777" w:rsidR="004E55FB" w:rsidRPr="002613E1" w:rsidRDefault="00C14F2D" w:rsidP="002613E1">
      <w:pPr>
        <w:numPr>
          <w:ilvl w:val="1"/>
          <w:numId w:val="13"/>
        </w:numPr>
        <w:rPr>
          <w:lang w:val="en-US"/>
        </w:rPr>
      </w:pPr>
      <w:r w:rsidRPr="002613E1">
        <w:rPr>
          <w:lang w:val="fi-FI"/>
        </w:rPr>
        <w:t>Local-area IAB-MT:FFS</w:t>
      </w:r>
    </w:p>
    <w:p w14:paraId="247EA162" w14:textId="008B034E" w:rsidR="002613E1" w:rsidRDefault="00442B62" w:rsidP="00B72197">
      <w:pPr>
        <w:rPr>
          <w:lang w:val="en-US"/>
        </w:rPr>
      </w:pPr>
      <w:r>
        <w:rPr>
          <w:rFonts w:hint="eastAsia"/>
          <w:lang w:val="en-US"/>
        </w:rPr>
        <w:t>A</w:t>
      </w:r>
      <w:r>
        <w:rPr>
          <w:lang w:val="en-US"/>
        </w:rPr>
        <w:t>s discussed in section 2.2, the out of band emissions are based on eth regulatory requirements. We think for regulatory purposes the LA and WA IAB-MT should be treated the same way. Our view is as the node is deployed like a BS then it should be treated like one for emissions purposes. The WA has already been agreed to be treated as a BS the LA should be also.</w:t>
      </w:r>
    </w:p>
    <w:p w14:paraId="03CA30EE" w14:textId="2567320D" w:rsidR="00442B62" w:rsidRDefault="00442B62" w:rsidP="00B72197">
      <w:pPr>
        <w:rPr>
          <w:lang w:val="en-US"/>
        </w:rPr>
      </w:pPr>
      <w:r w:rsidRPr="00442B62">
        <w:rPr>
          <w:rFonts w:hint="eastAsia"/>
          <w:b/>
          <w:lang w:val="en-US"/>
        </w:rPr>
        <w:t>P</w:t>
      </w:r>
      <w:r w:rsidRPr="00442B62">
        <w:rPr>
          <w:b/>
          <w:lang w:val="en-US"/>
        </w:rPr>
        <w:t>roposal 5:</w:t>
      </w:r>
      <w:r>
        <w:rPr>
          <w:lang w:val="en-US"/>
        </w:rPr>
        <w:t xml:space="preserve"> The LA IAB-MT meets the BS spurious emissions requirements.</w:t>
      </w:r>
    </w:p>
    <w:p w14:paraId="11DC7031" w14:textId="708DE2B9" w:rsidR="006971D0" w:rsidRPr="006971D0" w:rsidRDefault="006971D0" w:rsidP="006971D0">
      <w:pPr>
        <w:pStyle w:val="Heading1"/>
        <w:rPr>
          <w:lang w:val="en-US"/>
        </w:rPr>
      </w:pPr>
      <w:r>
        <w:rPr>
          <w:lang w:val="en-US"/>
        </w:rPr>
        <w:t>3</w:t>
      </w:r>
      <w:r>
        <w:rPr>
          <w:lang w:val="en-US"/>
        </w:rPr>
        <w:tab/>
      </w:r>
      <w:r w:rsidRPr="006971D0">
        <w:rPr>
          <w:lang w:val="en-US"/>
        </w:rPr>
        <w:t>Summary</w:t>
      </w:r>
    </w:p>
    <w:p w14:paraId="7D253394" w14:textId="266F1E29" w:rsidR="00442B62" w:rsidRPr="00442B62" w:rsidRDefault="00442B62" w:rsidP="00442B62">
      <w:r w:rsidRPr="00442B62">
        <w:rPr>
          <w:rFonts w:hint="eastAsia"/>
        </w:rPr>
        <w:t>I</w:t>
      </w:r>
      <w:r w:rsidRPr="00442B62">
        <w:t xml:space="preserve">n this paper we have responded to the </w:t>
      </w:r>
      <w:r>
        <w:t>open issue</w:t>
      </w:r>
      <w:r w:rsidRPr="00442B62">
        <w:t>s</w:t>
      </w:r>
      <w:r>
        <w:t xml:space="preserve"> </w:t>
      </w:r>
      <w:r w:rsidRPr="00442B62">
        <w:t>on the Tx emission</w:t>
      </w:r>
      <w:r>
        <w:t>s</w:t>
      </w:r>
      <w:r w:rsidRPr="00442B62">
        <w:t xml:space="preserve"> raised in [1], with the following proposals:</w:t>
      </w:r>
    </w:p>
    <w:p w14:paraId="62F3B2E3" w14:textId="77777777" w:rsidR="00442B62" w:rsidRDefault="00442B62" w:rsidP="00383D86">
      <w:pPr>
        <w:ind w:leftChars="100" w:left="200"/>
      </w:pPr>
      <w:r w:rsidRPr="00DB2685">
        <w:rPr>
          <w:b/>
        </w:rPr>
        <w:t>Proposal 1:</w:t>
      </w:r>
      <w:r>
        <w:t xml:space="preserve"> For LA IAB-MT relative ACLR is 45dBc</w:t>
      </w:r>
    </w:p>
    <w:p w14:paraId="5C0487CA" w14:textId="77777777" w:rsidR="00442B62" w:rsidRDefault="00442B62" w:rsidP="00383D86">
      <w:pPr>
        <w:ind w:leftChars="100" w:left="200"/>
      </w:pPr>
      <w:r w:rsidRPr="00DB2685">
        <w:rPr>
          <w:b/>
        </w:rPr>
        <w:t>Proposal 2</w:t>
      </w:r>
      <w:r>
        <w:t>: for IAB-MT transmitting in DL the BS ACLR is met.</w:t>
      </w:r>
    </w:p>
    <w:p w14:paraId="3532E919" w14:textId="77777777" w:rsidR="00442B62" w:rsidRDefault="00442B62" w:rsidP="00383D86">
      <w:pPr>
        <w:ind w:leftChars="100" w:left="200"/>
      </w:pPr>
      <w:r w:rsidRPr="00DB2685">
        <w:rPr>
          <w:b/>
        </w:rPr>
        <w:t xml:space="preserve">Proposal </w:t>
      </w:r>
      <w:r>
        <w:rPr>
          <w:b/>
        </w:rPr>
        <w:t>3</w:t>
      </w:r>
      <w:r>
        <w:t>: BS absolute ACLR requirements are adopted.</w:t>
      </w:r>
    </w:p>
    <w:p w14:paraId="64821CF7" w14:textId="77777777" w:rsidR="00442B62" w:rsidRPr="002613E1" w:rsidRDefault="00442B62" w:rsidP="00383D86">
      <w:pPr>
        <w:ind w:leftChars="100" w:left="200"/>
        <w:rPr>
          <w:lang w:val="en-US"/>
        </w:rPr>
      </w:pPr>
      <w:r w:rsidRPr="00442B62">
        <w:rPr>
          <w:b/>
          <w:lang w:val="en-US"/>
        </w:rPr>
        <w:t>Proposal 4:</w:t>
      </w:r>
      <w:r>
        <w:rPr>
          <w:lang w:val="en-US"/>
        </w:rPr>
        <w:t xml:space="preserve"> the BS OBUE requirements are used for LA IAB-MT </w:t>
      </w:r>
    </w:p>
    <w:p w14:paraId="7966F638" w14:textId="77777777" w:rsidR="00383D86" w:rsidRDefault="00383D86" w:rsidP="00383D86">
      <w:pPr>
        <w:ind w:leftChars="100" w:left="200"/>
        <w:rPr>
          <w:lang w:val="en-US"/>
        </w:rPr>
      </w:pPr>
      <w:r w:rsidRPr="00442B62">
        <w:rPr>
          <w:rFonts w:hint="eastAsia"/>
          <w:b/>
          <w:lang w:val="en-US"/>
        </w:rPr>
        <w:t>P</w:t>
      </w:r>
      <w:r w:rsidRPr="00442B62">
        <w:rPr>
          <w:b/>
          <w:lang w:val="en-US"/>
        </w:rPr>
        <w:t>roposal 5:</w:t>
      </w:r>
      <w:r>
        <w:rPr>
          <w:lang w:val="en-US"/>
        </w:rPr>
        <w:t xml:space="preserve"> The LA IAB-MT meets the BS spurious emissions requirements.</w:t>
      </w:r>
    </w:p>
    <w:p w14:paraId="1A488F9C" w14:textId="45453A1F" w:rsidR="002613E1" w:rsidRPr="006971D0" w:rsidRDefault="002613E1" w:rsidP="002613E1">
      <w:pPr>
        <w:pStyle w:val="Heading1"/>
        <w:rPr>
          <w:lang w:val="en-US"/>
        </w:rPr>
      </w:pPr>
      <w:r>
        <w:rPr>
          <w:lang w:val="en-US"/>
        </w:rPr>
        <w:t>4</w:t>
      </w:r>
      <w:r>
        <w:rPr>
          <w:lang w:val="en-US"/>
        </w:rPr>
        <w:tab/>
        <w:t>References</w:t>
      </w:r>
    </w:p>
    <w:p w14:paraId="0DAF547A" w14:textId="42B0D379" w:rsidR="002613E1" w:rsidRDefault="002613E1" w:rsidP="006971D0">
      <w:pPr>
        <w:rPr>
          <w:rFonts w:eastAsia="SimSun"/>
          <w:lang w:eastAsia="zh-CN"/>
        </w:rPr>
      </w:pPr>
      <w:r>
        <w:rPr>
          <w:rFonts w:eastAsia="SimSun" w:hint="eastAsia"/>
          <w:lang w:eastAsia="zh-CN"/>
        </w:rPr>
        <w:t>[1]</w:t>
      </w:r>
      <w:r>
        <w:rPr>
          <w:rFonts w:eastAsia="SimSun"/>
          <w:lang w:eastAsia="zh-CN"/>
        </w:rPr>
        <w:tab/>
        <w:t>R4-2009065</w:t>
      </w:r>
      <w:r>
        <w:rPr>
          <w:rFonts w:eastAsia="SimSun"/>
          <w:lang w:eastAsia="zh-CN"/>
        </w:rPr>
        <w:tab/>
      </w:r>
      <w:r w:rsidRPr="002613E1">
        <w:rPr>
          <w:rFonts w:eastAsia="SimSun"/>
          <w:lang w:eastAsia="zh-CN"/>
        </w:rPr>
        <w:t>WF on IAB-MT unwanted emissions</w:t>
      </w:r>
      <w:r>
        <w:rPr>
          <w:rFonts w:eastAsia="SimSun"/>
          <w:lang w:eastAsia="zh-CN"/>
        </w:rPr>
        <w:tab/>
        <w:t>Nokia</w:t>
      </w:r>
    </w:p>
    <w:p w14:paraId="5B8A7DBD" w14:textId="77777777" w:rsidR="00566D40" w:rsidRPr="00566D40" w:rsidRDefault="00566D40" w:rsidP="006971D0"/>
    <w:sectPr w:rsidR="00566D40" w:rsidRPr="00566D4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6DDF3" w14:textId="77777777" w:rsidR="00DB23C2" w:rsidRDefault="00DB23C2">
      <w:r>
        <w:separator/>
      </w:r>
    </w:p>
  </w:endnote>
  <w:endnote w:type="continuationSeparator" w:id="0">
    <w:p w14:paraId="39F9B303" w14:textId="77777777" w:rsidR="00DB23C2" w:rsidRDefault="00DB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6971D0" w:rsidRDefault="006971D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9415F" w14:textId="77777777" w:rsidR="00DB23C2" w:rsidRDefault="00DB23C2">
      <w:r>
        <w:separator/>
      </w:r>
    </w:p>
  </w:footnote>
  <w:footnote w:type="continuationSeparator" w:id="0">
    <w:p w14:paraId="7D3343FB" w14:textId="77777777" w:rsidR="00DB23C2" w:rsidRDefault="00DB2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6971D0" w:rsidRDefault="006971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1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6971D0" w:rsidRDefault="006971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214D">
      <w:rPr>
        <w:rFonts w:ascii="Arial" w:hAnsi="Arial" w:cs="Arial"/>
        <w:b/>
        <w:noProof/>
        <w:sz w:val="18"/>
        <w:szCs w:val="18"/>
      </w:rPr>
      <w:t>3</w:t>
    </w:r>
    <w:r>
      <w:rPr>
        <w:rFonts w:ascii="Arial" w:hAnsi="Arial" w:cs="Arial"/>
        <w:b/>
        <w:sz w:val="18"/>
        <w:szCs w:val="18"/>
      </w:rPr>
      <w:fldChar w:fldCharType="end"/>
    </w:r>
  </w:p>
  <w:p w14:paraId="73BC3881" w14:textId="77777777" w:rsidR="006971D0" w:rsidRDefault="006971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1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6971D0" w:rsidRDefault="006971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997528"/>
    <w:multiLevelType w:val="hybridMultilevel"/>
    <w:tmpl w:val="9230C1B0"/>
    <w:lvl w:ilvl="0" w:tplc="00760286">
      <w:start w:val="1"/>
      <w:numFmt w:val="bullet"/>
      <w:lvlText w:val="•"/>
      <w:lvlJc w:val="left"/>
      <w:pPr>
        <w:tabs>
          <w:tab w:val="num" w:pos="720"/>
        </w:tabs>
        <w:ind w:left="720" w:hanging="360"/>
      </w:pPr>
      <w:rPr>
        <w:rFonts w:ascii="Arial" w:hAnsi="Arial" w:hint="default"/>
      </w:rPr>
    </w:lvl>
    <w:lvl w:ilvl="1" w:tplc="2806D496">
      <w:numFmt w:val="bullet"/>
      <w:lvlText w:val="•"/>
      <w:lvlJc w:val="left"/>
      <w:pPr>
        <w:tabs>
          <w:tab w:val="num" w:pos="1440"/>
        </w:tabs>
        <w:ind w:left="1440" w:hanging="360"/>
      </w:pPr>
      <w:rPr>
        <w:rFonts w:ascii="Arial" w:hAnsi="Arial" w:hint="default"/>
      </w:rPr>
    </w:lvl>
    <w:lvl w:ilvl="2" w:tplc="2716E3DE">
      <w:numFmt w:val="bullet"/>
      <w:lvlText w:val="•"/>
      <w:lvlJc w:val="left"/>
      <w:pPr>
        <w:tabs>
          <w:tab w:val="num" w:pos="2160"/>
        </w:tabs>
        <w:ind w:left="2160" w:hanging="360"/>
      </w:pPr>
      <w:rPr>
        <w:rFonts w:ascii="Arial" w:hAnsi="Arial" w:hint="default"/>
      </w:rPr>
    </w:lvl>
    <w:lvl w:ilvl="3" w:tplc="68389B92" w:tentative="1">
      <w:start w:val="1"/>
      <w:numFmt w:val="bullet"/>
      <w:lvlText w:val="•"/>
      <w:lvlJc w:val="left"/>
      <w:pPr>
        <w:tabs>
          <w:tab w:val="num" w:pos="2880"/>
        </w:tabs>
        <w:ind w:left="2880" w:hanging="360"/>
      </w:pPr>
      <w:rPr>
        <w:rFonts w:ascii="Arial" w:hAnsi="Arial" w:hint="default"/>
      </w:rPr>
    </w:lvl>
    <w:lvl w:ilvl="4" w:tplc="9C96C8C8" w:tentative="1">
      <w:start w:val="1"/>
      <w:numFmt w:val="bullet"/>
      <w:lvlText w:val="•"/>
      <w:lvlJc w:val="left"/>
      <w:pPr>
        <w:tabs>
          <w:tab w:val="num" w:pos="3600"/>
        </w:tabs>
        <w:ind w:left="3600" w:hanging="360"/>
      </w:pPr>
      <w:rPr>
        <w:rFonts w:ascii="Arial" w:hAnsi="Arial" w:hint="default"/>
      </w:rPr>
    </w:lvl>
    <w:lvl w:ilvl="5" w:tplc="17686634" w:tentative="1">
      <w:start w:val="1"/>
      <w:numFmt w:val="bullet"/>
      <w:lvlText w:val="•"/>
      <w:lvlJc w:val="left"/>
      <w:pPr>
        <w:tabs>
          <w:tab w:val="num" w:pos="4320"/>
        </w:tabs>
        <w:ind w:left="4320" w:hanging="360"/>
      </w:pPr>
      <w:rPr>
        <w:rFonts w:ascii="Arial" w:hAnsi="Arial" w:hint="default"/>
      </w:rPr>
    </w:lvl>
    <w:lvl w:ilvl="6" w:tplc="31AE4772" w:tentative="1">
      <w:start w:val="1"/>
      <w:numFmt w:val="bullet"/>
      <w:lvlText w:val="•"/>
      <w:lvlJc w:val="left"/>
      <w:pPr>
        <w:tabs>
          <w:tab w:val="num" w:pos="5040"/>
        </w:tabs>
        <w:ind w:left="5040" w:hanging="360"/>
      </w:pPr>
      <w:rPr>
        <w:rFonts w:ascii="Arial" w:hAnsi="Arial" w:hint="default"/>
      </w:rPr>
    </w:lvl>
    <w:lvl w:ilvl="7" w:tplc="4D3E9442" w:tentative="1">
      <w:start w:val="1"/>
      <w:numFmt w:val="bullet"/>
      <w:lvlText w:val="•"/>
      <w:lvlJc w:val="left"/>
      <w:pPr>
        <w:tabs>
          <w:tab w:val="num" w:pos="5760"/>
        </w:tabs>
        <w:ind w:left="5760" w:hanging="360"/>
      </w:pPr>
      <w:rPr>
        <w:rFonts w:ascii="Arial" w:hAnsi="Arial" w:hint="default"/>
      </w:rPr>
    </w:lvl>
    <w:lvl w:ilvl="8" w:tplc="1ACC79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8E698A"/>
    <w:multiLevelType w:val="hybridMultilevel"/>
    <w:tmpl w:val="2466A554"/>
    <w:lvl w:ilvl="0" w:tplc="F93C1A8E">
      <w:start w:val="1"/>
      <w:numFmt w:val="bullet"/>
      <w:lvlText w:val="•"/>
      <w:lvlJc w:val="left"/>
      <w:pPr>
        <w:tabs>
          <w:tab w:val="num" w:pos="720"/>
        </w:tabs>
        <w:ind w:left="720" w:hanging="360"/>
      </w:pPr>
      <w:rPr>
        <w:rFonts w:ascii="Arial" w:hAnsi="Arial" w:hint="default"/>
      </w:rPr>
    </w:lvl>
    <w:lvl w:ilvl="1" w:tplc="3B50DC42">
      <w:numFmt w:val="bullet"/>
      <w:lvlText w:val="•"/>
      <w:lvlJc w:val="left"/>
      <w:pPr>
        <w:tabs>
          <w:tab w:val="num" w:pos="1440"/>
        </w:tabs>
        <w:ind w:left="1440" w:hanging="360"/>
      </w:pPr>
      <w:rPr>
        <w:rFonts w:ascii="Arial" w:hAnsi="Arial" w:hint="default"/>
      </w:rPr>
    </w:lvl>
    <w:lvl w:ilvl="2" w:tplc="5FEEC0CC" w:tentative="1">
      <w:start w:val="1"/>
      <w:numFmt w:val="bullet"/>
      <w:lvlText w:val="•"/>
      <w:lvlJc w:val="left"/>
      <w:pPr>
        <w:tabs>
          <w:tab w:val="num" w:pos="2160"/>
        </w:tabs>
        <w:ind w:left="2160" w:hanging="360"/>
      </w:pPr>
      <w:rPr>
        <w:rFonts w:ascii="Arial" w:hAnsi="Arial" w:hint="default"/>
      </w:rPr>
    </w:lvl>
    <w:lvl w:ilvl="3" w:tplc="DC1A7698" w:tentative="1">
      <w:start w:val="1"/>
      <w:numFmt w:val="bullet"/>
      <w:lvlText w:val="•"/>
      <w:lvlJc w:val="left"/>
      <w:pPr>
        <w:tabs>
          <w:tab w:val="num" w:pos="2880"/>
        </w:tabs>
        <w:ind w:left="2880" w:hanging="360"/>
      </w:pPr>
      <w:rPr>
        <w:rFonts w:ascii="Arial" w:hAnsi="Arial" w:hint="default"/>
      </w:rPr>
    </w:lvl>
    <w:lvl w:ilvl="4" w:tplc="15049846" w:tentative="1">
      <w:start w:val="1"/>
      <w:numFmt w:val="bullet"/>
      <w:lvlText w:val="•"/>
      <w:lvlJc w:val="left"/>
      <w:pPr>
        <w:tabs>
          <w:tab w:val="num" w:pos="3600"/>
        </w:tabs>
        <w:ind w:left="3600" w:hanging="360"/>
      </w:pPr>
      <w:rPr>
        <w:rFonts w:ascii="Arial" w:hAnsi="Arial" w:hint="default"/>
      </w:rPr>
    </w:lvl>
    <w:lvl w:ilvl="5" w:tplc="4AF4FF82" w:tentative="1">
      <w:start w:val="1"/>
      <w:numFmt w:val="bullet"/>
      <w:lvlText w:val="•"/>
      <w:lvlJc w:val="left"/>
      <w:pPr>
        <w:tabs>
          <w:tab w:val="num" w:pos="4320"/>
        </w:tabs>
        <w:ind w:left="4320" w:hanging="360"/>
      </w:pPr>
      <w:rPr>
        <w:rFonts w:ascii="Arial" w:hAnsi="Arial" w:hint="default"/>
      </w:rPr>
    </w:lvl>
    <w:lvl w:ilvl="6" w:tplc="A9082868" w:tentative="1">
      <w:start w:val="1"/>
      <w:numFmt w:val="bullet"/>
      <w:lvlText w:val="•"/>
      <w:lvlJc w:val="left"/>
      <w:pPr>
        <w:tabs>
          <w:tab w:val="num" w:pos="5040"/>
        </w:tabs>
        <w:ind w:left="5040" w:hanging="360"/>
      </w:pPr>
      <w:rPr>
        <w:rFonts w:ascii="Arial" w:hAnsi="Arial" w:hint="default"/>
      </w:rPr>
    </w:lvl>
    <w:lvl w:ilvl="7" w:tplc="9432ABFE" w:tentative="1">
      <w:start w:val="1"/>
      <w:numFmt w:val="bullet"/>
      <w:lvlText w:val="•"/>
      <w:lvlJc w:val="left"/>
      <w:pPr>
        <w:tabs>
          <w:tab w:val="num" w:pos="5760"/>
        </w:tabs>
        <w:ind w:left="5760" w:hanging="360"/>
      </w:pPr>
      <w:rPr>
        <w:rFonts w:ascii="Arial" w:hAnsi="Arial" w:hint="default"/>
      </w:rPr>
    </w:lvl>
    <w:lvl w:ilvl="8" w:tplc="9998FB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AC81902"/>
    <w:multiLevelType w:val="hybridMultilevel"/>
    <w:tmpl w:val="42DC3CAC"/>
    <w:lvl w:ilvl="0" w:tplc="E6107818">
      <w:start w:val="1"/>
      <w:numFmt w:val="bullet"/>
      <w:lvlText w:val="•"/>
      <w:lvlJc w:val="left"/>
      <w:pPr>
        <w:tabs>
          <w:tab w:val="num" w:pos="720"/>
        </w:tabs>
        <w:ind w:left="720" w:hanging="360"/>
      </w:pPr>
      <w:rPr>
        <w:rFonts w:ascii="Arial" w:hAnsi="Arial" w:hint="default"/>
      </w:rPr>
    </w:lvl>
    <w:lvl w:ilvl="1" w:tplc="9A82F326" w:tentative="1">
      <w:start w:val="1"/>
      <w:numFmt w:val="bullet"/>
      <w:lvlText w:val="•"/>
      <w:lvlJc w:val="left"/>
      <w:pPr>
        <w:tabs>
          <w:tab w:val="num" w:pos="1440"/>
        </w:tabs>
        <w:ind w:left="1440" w:hanging="360"/>
      </w:pPr>
      <w:rPr>
        <w:rFonts w:ascii="Arial" w:hAnsi="Arial" w:hint="default"/>
      </w:rPr>
    </w:lvl>
    <w:lvl w:ilvl="2" w:tplc="85C2FC86" w:tentative="1">
      <w:start w:val="1"/>
      <w:numFmt w:val="bullet"/>
      <w:lvlText w:val="•"/>
      <w:lvlJc w:val="left"/>
      <w:pPr>
        <w:tabs>
          <w:tab w:val="num" w:pos="2160"/>
        </w:tabs>
        <w:ind w:left="2160" w:hanging="360"/>
      </w:pPr>
      <w:rPr>
        <w:rFonts w:ascii="Arial" w:hAnsi="Arial" w:hint="default"/>
      </w:rPr>
    </w:lvl>
    <w:lvl w:ilvl="3" w:tplc="5CD4966C" w:tentative="1">
      <w:start w:val="1"/>
      <w:numFmt w:val="bullet"/>
      <w:lvlText w:val="•"/>
      <w:lvlJc w:val="left"/>
      <w:pPr>
        <w:tabs>
          <w:tab w:val="num" w:pos="2880"/>
        </w:tabs>
        <w:ind w:left="2880" w:hanging="360"/>
      </w:pPr>
      <w:rPr>
        <w:rFonts w:ascii="Arial" w:hAnsi="Arial" w:hint="default"/>
      </w:rPr>
    </w:lvl>
    <w:lvl w:ilvl="4" w:tplc="46C2015A" w:tentative="1">
      <w:start w:val="1"/>
      <w:numFmt w:val="bullet"/>
      <w:lvlText w:val="•"/>
      <w:lvlJc w:val="left"/>
      <w:pPr>
        <w:tabs>
          <w:tab w:val="num" w:pos="3600"/>
        </w:tabs>
        <w:ind w:left="3600" w:hanging="360"/>
      </w:pPr>
      <w:rPr>
        <w:rFonts w:ascii="Arial" w:hAnsi="Arial" w:hint="default"/>
      </w:rPr>
    </w:lvl>
    <w:lvl w:ilvl="5" w:tplc="12D24EEA" w:tentative="1">
      <w:start w:val="1"/>
      <w:numFmt w:val="bullet"/>
      <w:lvlText w:val="•"/>
      <w:lvlJc w:val="left"/>
      <w:pPr>
        <w:tabs>
          <w:tab w:val="num" w:pos="4320"/>
        </w:tabs>
        <w:ind w:left="4320" w:hanging="360"/>
      </w:pPr>
      <w:rPr>
        <w:rFonts w:ascii="Arial" w:hAnsi="Arial" w:hint="default"/>
      </w:rPr>
    </w:lvl>
    <w:lvl w:ilvl="6" w:tplc="EB6C5260" w:tentative="1">
      <w:start w:val="1"/>
      <w:numFmt w:val="bullet"/>
      <w:lvlText w:val="•"/>
      <w:lvlJc w:val="left"/>
      <w:pPr>
        <w:tabs>
          <w:tab w:val="num" w:pos="5040"/>
        </w:tabs>
        <w:ind w:left="5040" w:hanging="360"/>
      </w:pPr>
      <w:rPr>
        <w:rFonts w:ascii="Arial" w:hAnsi="Arial" w:hint="default"/>
      </w:rPr>
    </w:lvl>
    <w:lvl w:ilvl="7" w:tplc="AE00D8D2" w:tentative="1">
      <w:start w:val="1"/>
      <w:numFmt w:val="bullet"/>
      <w:lvlText w:val="•"/>
      <w:lvlJc w:val="left"/>
      <w:pPr>
        <w:tabs>
          <w:tab w:val="num" w:pos="5760"/>
        </w:tabs>
        <w:ind w:left="5760" w:hanging="360"/>
      </w:pPr>
      <w:rPr>
        <w:rFonts w:ascii="Arial" w:hAnsi="Arial" w:hint="default"/>
      </w:rPr>
    </w:lvl>
    <w:lvl w:ilvl="8" w:tplc="6E0C52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5043C4D"/>
    <w:multiLevelType w:val="hybridMultilevel"/>
    <w:tmpl w:val="2F3450BA"/>
    <w:lvl w:ilvl="0" w:tplc="4790F274">
      <w:start w:val="1"/>
      <w:numFmt w:val="bullet"/>
      <w:lvlText w:val="•"/>
      <w:lvlJc w:val="left"/>
      <w:pPr>
        <w:tabs>
          <w:tab w:val="num" w:pos="720"/>
        </w:tabs>
        <w:ind w:left="720" w:hanging="360"/>
      </w:pPr>
      <w:rPr>
        <w:rFonts w:ascii="Arial" w:hAnsi="Arial" w:hint="default"/>
      </w:rPr>
    </w:lvl>
    <w:lvl w:ilvl="1" w:tplc="D10AEC88">
      <w:numFmt w:val="bullet"/>
      <w:lvlText w:val="•"/>
      <w:lvlJc w:val="left"/>
      <w:pPr>
        <w:tabs>
          <w:tab w:val="num" w:pos="1440"/>
        </w:tabs>
        <w:ind w:left="1440" w:hanging="360"/>
      </w:pPr>
      <w:rPr>
        <w:rFonts w:ascii="Arial" w:hAnsi="Arial" w:hint="default"/>
      </w:rPr>
    </w:lvl>
    <w:lvl w:ilvl="2" w:tplc="AEC2E2F0">
      <w:numFmt w:val="bullet"/>
      <w:lvlText w:val="•"/>
      <w:lvlJc w:val="left"/>
      <w:pPr>
        <w:tabs>
          <w:tab w:val="num" w:pos="2160"/>
        </w:tabs>
        <w:ind w:left="2160" w:hanging="360"/>
      </w:pPr>
      <w:rPr>
        <w:rFonts w:ascii="Arial" w:hAnsi="Arial" w:hint="default"/>
      </w:rPr>
    </w:lvl>
    <w:lvl w:ilvl="3" w:tplc="D5A0F30A" w:tentative="1">
      <w:start w:val="1"/>
      <w:numFmt w:val="bullet"/>
      <w:lvlText w:val="•"/>
      <w:lvlJc w:val="left"/>
      <w:pPr>
        <w:tabs>
          <w:tab w:val="num" w:pos="2880"/>
        </w:tabs>
        <w:ind w:left="2880" w:hanging="360"/>
      </w:pPr>
      <w:rPr>
        <w:rFonts w:ascii="Arial" w:hAnsi="Arial" w:hint="default"/>
      </w:rPr>
    </w:lvl>
    <w:lvl w:ilvl="4" w:tplc="5360F5E2" w:tentative="1">
      <w:start w:val="1"/>
      <w:numFmt w:val="bullet"/>
      <w:lvlText w:val="•"/>
      <w:lvlJc w:val="left"/>
      <w:pPr>
        <w:tabs>
          <w:tab w:val="num" w:pos="3600"/>
        </w:tabs>
        <w:ind w:left="3600" w:hanging="360"/>
      </w:pPr>
      <w:rPr>
        <w:rFonts w:ascii="Arial" w:hAnsi="Arial" w:hint="default"/>
      </w:rPr>
    </w:lvl>
    <w:lvl w:ilvl="5" w:tplc="6A8AA58E" w:tentative="1">
      <w:start w:val="1"/>
      <w:numFmt w:val="bullet"/>
      <w:lvlText w:val="•"/>
      <w:lvlJc w:val="left"/>
      <w:pPr>
        <w:tabs>
          <w:tab w:val="num" w:pos="4320"/>
        </w:tabs>
        <w:ind w:left="4320" w:hanging="360"/>
      </w:pPr>
      <w:rPr>
        <w:rFonts w:ascii="Arial" w:hAnsi="Arial" w:hint="default"/>
      </w:rPr>
    </w:lvl>
    <w:lvl w:ilvl="6" w:tplc="CFE4F29A" w:tentative="1">
      <w:start w:val="1"/>
      <w:numFmt w:val="bullet"/>
      <w:lvlText w:val="•"/>
      <w:lvlJc w:val="left"/>
      <w:pPr>
        <w:tabs>
          <w:tab w:val="num" w:pos="5040"/>
        </w:tabs>
        <w:ind w:left="5040" w:hanging="360"/>
      </w:pPr>
      <w:rPr>
        <w:rFonts w:ascii="Arial" w:hAnsi="Arial" w:hint="default"/>
      </w:rPr>
    </w:lvl>
    <w:lvl w:ilvl="7" w:tplc="95CEAD08" w:tentative="1">
      <w:start w:val="1"/>
      <w:numFmt w:val="bullet"/>
      <w:lvlText w:val="•"/>
      <w:lvlJc w:val="left"/>
      <w:pPr>
        <w:tabs>
          <w:tab w:val="num" w:pos="5760"/>
        </w:tabs>
        <w:ind w:left="5760" w:hanging="360"/>
      </w:pPr>
      <w:rPr>
        <w:rFonts w:ascii="Arial" w:hAnsi="Arial" w:hint="default"/>
      </w:rPr>
    </w:lvl>
    <w:lvl w:ilvl="8" w:tplc="894CCC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8657C8A"/>
    <w:multiLevelType w:val="multilevel"/>
    <w:tmpl w:val="FFC84CF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425DE"/>
    <w:multiLevelType w:val="hybridMultilevel"/>
    <w:tmpl w:val="E8802D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0"/>
  </w:num>
  <w:num w:numId="2">
    <w:abstractNumId w:val="3"/>
  </w:num>
  <w:num w:numId="3">
    <w:abstractNumId w:val="12"/>
  </w:num>
  <w:num w:numId="4">
    <w:abstractNumId w:val="14"/>
  </w:num>
  <w:num w:numId="5">
    <w:abstractNumId w:val="7"/>
  </w:num>
  <w:num w:numId="6">
    <w:abstractNumId w:val="5"/>
  </w:num>
  <w:num w:numId="7">
    <w:abstractNumId w:val="0"/>
  </w:num>
  <w:num w:numId="8">
    <w:abstractNumId w:val="1"/>
  </w:num>
  <w:num w:numId="9">
    <w:abstractNumId w:val="16"/>
  </w:num>
  <w:num w:numId="10">
    <w:abstractNumId w:val="9"/>
  </w:num>
  <w:num w:numId="11">
    <w:abstractNumId w:val="4"/>
  </w:num>
  <w:num w:numId="12">
    <w:abstractNumId w:val="15"/>
  </w:num>
  <w:num w:numId="13">
    <w:abstractNumId w:val="2"/>
  </w:num>
  <w:num w:numId="14">
    <w:abstractNumId w:val="11"/>
  </w:num>
  <w:num w:numId="15">
    <w:abstractNumId w:val="8"/>
  </w:num>
  <w:num w:numId="16">
    <w:abstractNumId w:val="6"/>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2E00"/>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E9B"/>
    <w:rsid w:val="0007014E"/>
    <w:rsid w:val="000709B0"/>
    <w:rsid w:val="00071A0B"/>
    <w:rsid w:val="0007361F"/>
    <w:rsid w:val="0007442D"/>
    <w:rsid w:val="00080512"/>
    <w:rsid w:val="00081458"/>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0A9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92969"/>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1591F"/>
    <w:rsid w:val="00221982"/>
    <w:rsid w:val="00223D1E"/>
    <w:rsid w:val="00225AB4"/>
    <w:rsid w:val="002331D7"/>
    <w:rsid w:val="002347A2"/>
    <w:rsid w:val="002414B6"/>
    <w:rsid w:val="002431E2"/>
    <w:rsid w:val="00245905"/>
    <w:rsid w:val="00246CB3"/>
    <w:rsid w:val="00260CE1"/>
    <w:rsid w:val="002613E1"/>
    <w:rsid w:val="00261B39"/>
    <w:rsid w:val="00262AE6"/>
    <w:rsid w:val="0026478A"/>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3D86"/>
    <w:rsid w:val="003860F2"/>
    <w:rsid w:val="00386C8A"/>
    <w:rsid w:val="00394014"/>
    <w:rsid w:val="003A2B4E"/>
    <w:rsid w:val="003A5ED7"/>
    <w:rsid w:val="003B0C97"/>
    <w:rsid w:val="003B3B14"/>
    <w:rsid w:val="003C02F3"/>
    <w:rsid w:val="003C3971"/>
    <w:rsid w:val="003D5242"/>
    <w:rsid w:val="003D548E"/>
    <w:rsid w:val="003D71F2"/>
    <w:rsid w:val="003E2797"/>
    <w:rsid w:val="003F169C"/>
    <w:rsid w:val="003F6088"/>
    <w:rsid w:val="004057B6"/>
    <w:rsid w:val="004110F5"/>
    <w:rsid w:val="004171A7"/>
    <w:rsid w:val="00423334"/>
    <w:rsid w:val="00426948"/>
    <w:rsid w:val="00430239"/>
    <w:rsid w:val="00430478"/>
    <w:rsid w:val="00433396"/>
    <w:rsid w:val="004345EC"/>
    <w:rsid w:val="004365FF"/>
    <w:rsid w:val="004374BF"/>
    <w:rsid w:val="004406E3"/>
    <w:rsid w:val="004419F7"/>
    <w:rsid w:val="00442B62"/>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2E1C"/>
    <w:rsid w:val="004C3347"/>
    <w:rsid w:val="004C5D74"/>
    <w:rsid w:val="004C6803"/>
    <w:rsid w:val="004D3578"/>
    <w:rsid w:val="004D415F"/>
    <w:rsid w:val="004D49FB"/>
    <w:rsid w:val="004D63C0"/>
    <w:rsid w:val="004E0F8A"/>
    <w:rsid w:val="004E1FAE"/>
    <w:rsid w:val="004E213A"/>
    <w:rsid w:val="004E55FB"/>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D40"/>
    <w:rsid w:val="00566FA1"/>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3A2B"/>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971D0"/>
    <w:rsid w:val="006A2C14"/>
    <w:rsid w:val="006A323F"/>
    <w:rsid w:val="006A738B"/>
    <w:rsid w:val="006B0336"/>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24AAE"/>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05C9"/>
    <w:rsid w:val="008176F4"/>
    <w:rsid w:val="0082214D"/>
    <w:rsid w:val="008262E5"/>
    <w:rsid w:val="0083021D"/>
    <w:rsid w:val="00830747"/>
    <w:rsid w:val="0083100A"/>
    <w:rsid w:val="0083471D"/>
    <w:rsid w:val="008347D8"/>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54ED"/>
    <w:rsid w:val="0098575D"/>
    <w:rsid w:val="009904B6"/>
    <w:rsid w:val="00990946"/>
    <w:rsid w:val="0099150B"/>
    <w:rsid w:val="009937AE"/>
    <w:rsid w:val="00993846"/>
    <w:rsid w:val="00996A98"/>
    <w:rsid w:val="009A02B0"/>
    <w:rsid w:val="009A6C15"/>
    <w:rsid w:val="009D401A"/>
    <w:rsid w:val="009D631A"/>
    <w:rsid w:val="009D716E"/>
    <w:rsid w:val="009E213A"/>
    <w:rsid w:val="009F24F9"/>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2CBD"/>
    <w:rsid w:val="00AE4148"/>
    <w:rsid w:val="00AE65E2"/>
    <w:rsid w:val="00AF4D56"/>
    <w:rsid w:val="00AF7B19"/>
    <w:rsid w:val="00B15449"/>
    <w:rsid w:val="00B24B03"/>
    <w:rsid w:val="00B339B8"/>
    <w:rsid w:val="00B413A1"/>
    <w:rsid w:val="00B4304E"/>
    <w:rsid w:val="00B72197"/>
    <w:rsid w:val="00B73A47"/>
    <w:rsid w:val="00B74CF7"/>
    <w:rsid w:val="00B75E14"/>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4F2D"/>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23C2"/>
    <w:rsid w:val="00DB2685"/>
    <w:rsid w:val="00DB362E"/>
    <w:rsid w:val="00DB5210"/>
    <w:rsid w:val="00DC1B17"/>
    <w:rsid w:val="00DC309B"/>
    <w:rsid w:val="00DC4DA2"/>
    <w:rsid w:val="00DC61F1"/>
    <w:rsid w:val="00DD4C17"/>
    <w:rsid w:val="00DD5AD3"/>
    <w:rsid w:val="00DD74A5"/>
    <w:rsid w:val="00DE13B7"/>
    <w:rsid w:val="00DF2B1F"/>
    <w:rsid w:val="00DF62CD"/>
    <w:rsid w:val="00E10564"/>
    <w:rsid w:val="00E1221F"/>
    <w:rsid w:val="00E16509"/>
    <w:rsid w:val="00E21289"/>
    <w:rsid w:val="00E21EC2"/>
    <w:rsid w:val="00E37004"/>
    <w:rsid w:val="00E378FD"/>
    <w:rsid w:val="00E40FE5"/>
    <w:rsid w:val="00E44582"/>
    <w:rsid w:val="00E47839"/>
    <w:rsid w:val="00E626BD"/>
    <w:rsid w:val="00E62A95"/>
    <w:rsid w:val="00E7035C"/>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30B2"/>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0649014">
      <w:bodyDiv w:val="1"/>
      <w:marLeft w:val="0"/>
      <w:marRight w:val="0"/>
      <w:marTop w:val="0"/>
      <w:marBottom w:val="0"/>
      <w:divBdr>
        <w:top w:val="none" w:sz="0" w:space="0" w:color="auto"/>
        <w:left w:val="none" w:sz="0" w:space="0" w:color="auto"/>
        <w:bottom w:val="none" w:sz="0" w:space="0" w:color="auto"/>
        <w:right w:val="none" w:sz="0" w:space="0" w:color="auto"/>
      </w:divBdr>
      <w:divsChild>
        <w:div w:id="97141215">
          <w:marLeft w:val="360"/>
          <w:marRight w:val="0"/>
          <w:marTop w:val="200"/>
          <w:marBottom w:val="0"/>
          <w:divBdr>
            <w:top w:val="none" w:sz="0" w:space="0" w:color="auto"/>
            <w:left w:val="none" w:sz="0" w:space="0" w:color="auto"/>
            <w:bottom w:val="none" w:sz="0" w:space="0" w:color="auto"/>
            <w:right w:val="none" w:sz="0" w:space="0" w:color="auto"/>
          </w:divBdr>
        </w:div>
        <w:div w:id="1021976982">
          <w:marLeft w:val="1080"/>
          <w:marRight w:val="0"/>
          <w:marTop w:val="100"/>
          <w:marBottom w:val="0"/>
          <w:divBdr>
            <w:top w:val="none" w:sz="0" w:space="0" w:color="auto"/>
            <w:left w:val="none" w:sz="0" w:space="0" w:color="auto"/>
            <w:bottom w:val="none" w:sz="0" w:space="0" w:color="auto"/>
            <w:right w:val="none" w:sz="0" w:space="0" w:color="auto"/>
          </w:divBdr>
        </w:div>
        <w:div w:id="1265455520">
          <w:marLeft w:val="1080"/>
          <w:marRight w:val="0"/>
          <w:marTop w:val="100"/>
          <w:marBottom w:val="0"/>
          <w:divBdr>
            <w:top w:val="none" w:sz="0" w:space="0" w:color="auto"/>
            <w:left w:val="none" w:sz="0" w:space="0" w:color="auto"/>
            <w:bottom w:val="none" w:sz="0" w:space="0" w:color="auto"/>
            <w:right w:val="none" w:sz="0" w:space="0" w:color="auto"/>
          </w:divBdr>
        </w:div>
      </w:divsChild>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165754049">
      <w:bodyDiv w:val="1"/>
      <w:marLeft w:val="0"/>
      <w:marRight w:val="0"/>
      <w:marTop w:val="0"/>
      <w:marBottom w:val="0"/>
      <w:divBdr>
        <w:top w:val="none" w:sz="0" w:space="0" w:color="auto"/>
        <w:left w:val="none" w:sz="0" w:space="0" w:color="auto"/>
        <w:bottom w:val="none" w:sz="0" w:space="0" w:color="auto"/>
        <w:right w:val="none" w:sz="0" w:space="0" w:color="auto"/>
      </w:divBdr>
      <w:divsChild>
        <w:div w:id="1753041881">
          <w:marLeft w:val="360"/>
          <w:marRight w:val="0"/>
          <w:marTop w:val="200"/>
          <w:marBottom w:val="0"/>
          <w:divBdr>
            <w:top w:val="none" w:sz="0" w:space="0" w:color="auto"/>
            <w:left w:val="none" w:sz="0" w:space="0" w:color="auto"/>
            <w:bottom w:val="none" w:sz="0" w:space="0" w:color="auto"/>
            <w:right w:val="none" w:sz="0" w:space="0" w:color="auto"/>
          </w:divBdr>
        </w:div>
        <w:div w:id="763452313">
          <w:marLeft w:val="1080"/>
          <w:marRight w:val="0"/>
          <w:marTop w:val="100"/>
          <w:marBottom w:val="0"/>
          <w:divBdr>
            <w:top w:val="none" w:sz="0" w:space="0" w:color="auto"/>
            <w:left w:val="none" w:sz="0" w:space="0" w:color="auto"/>
            <w:bottom w:val="none" w:sz="0" w:space="0" w:color="auto"/>
            <w:right w:val="none" w:sz="0" w:space="0" w:color="auto"/>
          </w:divBdr>
        </w:div>
        <w:div w:id="915826326">
          <w:marLeft w:val="1800"/>
          <w:marRight w:val="0"/>
          <w:marTop w:val="100"/>
          <w:marBottom w:val="0"/>
          <w:divBdr>
            <w:top w:val="none" w:sz="0" w:space="0" w:color="auto"/>
            <w:left w:val="none" w:sz="0" w:space="0" w:color="auto"/>
            <w:bottom w:val="none" w:sz="0" w:space="0" w:color="auto"/>
            <w:right w:val="none" w:sz="0" w:space="0" w:color="auto"/>
          </w:divBdr>
        </w:div>
        <w:div w:id="64039047">
          <w:marLeft w:val="1080"/>
          <w:marRight w:val="0"/>
          <w:marTop w:val="100"/>
          <w:marBottom w:val="0"/>
          <w:divBdr>
            <w:top w:val="none" w:sz="0" w:space="0" w:color="auto"/>
            <w:left w:val="none" w:sz="0" w:space="0" w:color="auto"/>
            <w:bottom w:val="none" w:sz="0" w:space="0" w:color="auto"/>
            <w:right w:val="none" w:sz="0" w:space="0" w:color="auto"/>
          </w:divBdr>
        </w:div>
        <w:div w:id="907224164">
          <w:marLeft w:val="1800"/>
          <w:marRight w:val="0"/>
          <w:marTop w:val="100"/>
          <w:marBottom w:val="0"/>
          <w:divBdr>
            <w:top w:val="none" w:sz="0" w:space="0" w:color="auto"/>
            <w:left w:val="none" w:sz="0" w:space="0" w:color="auto"/>
            <w:bottom w:val="none" w:sz="0" w:space="0" w:color="auto"/>
            <w:right w:val="none" w:sz="0" w:space="0" w:color="auto"/>
          </w:divBdr>
        </w:div>
        <w:div w:id="2068796269">
          <w:marLeft w:val="1800"/>
          <w:marRight w:val="0"/>
          <w:marTop w:val="100"/>
          <w:marBottom w:val="0"/>
          <w:divBdr>
            <w:top w:val="none" w:sz="0" w:space="0" w:color="auto"/>
            <w:left w:val="none" w:sz="0" w:space="0" w:color="auto"/>
            <w:bottom w:val="none" w:sz="0" w:space="0" w:color="auto"/>
            <w:right w:val="none" w:sz="0" w:space="0" w:color="auto"/>
          </w:divBdr>
        </w:div>
        <w:div w:id="1903369110">
          <w:marLeft w:val="360"/>
          <w:marRight w:val="0"/>
          <w:marTop w:val="200"/>
          <w:marBottom w:val="0"/>
          <w:divBdr>
            <w:top w:val="none" w:sz="0" w:space="0" w:color="auto"/>
            <w:left w:val="none" w:sz="0" w:space="0" w:color="auto"/>
            <w:bottom w:val="none" w:sz="0" w:space="0" w:color="auto"/>
            <w:right w:val="none" w:sz="0" w:space="0" w:color="auto"/>
          </w:divBdr>
        </w:div>
        <w:div w:id="560949932">
          <w:marLeft w:val="1080"/>
          <w:marRight w:val="0"/>
          <w:marTop w:val="100"/>
          <w:marBottom w:val="0"/>
          <w:divBdr>
            <w:top w:val="none" w:sz="0" w:space="0" w:color="auto"/>
            <w:left w:val="none" w:sz="0" w:space="0" w:color="auto"/>
            <w:bottom w:val="none" w:sz="0" w:space="0" w:color="auto"/>
            <w:right w:val="none" w:sz="0" w:space="0" w:color="auto"/>
          </w:divBdr>
        </w:div>
        <w:div w:id="1160805374">
          <w:marLeft w:val="1800"/>
          <w:marRight w:val="0"/>
          <w:marTop w:val="100"/>
          <w:marBottom w:val="0"/>
          <w:divBdr>
            <w:top w:val="none" w:sz="0" w:space="0" w:color="auto"/>
            <w:left w:val="none" w:sz="0" w:space="0" w:color="auto"/>
            <w:bottom w:val="none" w:sz="0" w:space="0" w:color="auto"/>
            <w:right w:val="none" w:sz="0" w:space="0" w:color="auto"/>
          </w:divBdr>
        </w:div>
        <w:div w:id="18774411">
          <w:marLeft w:val="1080"/>
          <w:marRight w:val="0"/>
          <w:marTop w:val="100"/>
          <w:marBottom w:val="0"/>
          <w:divBdr>
            <w:top w:val="none" w:sz="0" w:space="0" w:color="auto"/>
            <w:left w:val="none" w:sz="0" w:space="0" w:color="auto"/>
            <w:bottom w:val="none" w:sz="0" w:space="0" w:color="auto"/>
            <w:right w:val="none" w:sz="0" w:space="0" w:color="auto"/>
          </w:divBdr>
        </w:div>
        <w:div w:id="1674840908">
          <w:marLeft w:val="1800"/>
          <w:marRight w:val="0"/>
          <w:marTop w:val="100"/>
          <w:marBottom w:val="0"/>
          <w:divBdr>
            <w:top w:val="none" w:sz="0" w:space="0" w:color="auto"/>
            <w:left w:val="none" w:sz="0" w:space="0" w:color="auto"/>
            <w:bottom w:val="none" w:sz="0" w:space="0" w:color="auto"/>
            <w:right w:val="none" w:sz="0" w:space="0" w:color="auto"/>
          </w:divBdr>
        </w:div>
        <w:div w:id="1794860185">
          <w:marLeft w:val="1800"/>
          <w:marRight w:val="0"/>
          <w:marTop w:val="100"/>
          <w:marBottom w:val="0"/>
          <w:divBdr>
            <w:top w:val="none" w:sz="0" w:space="0" w:color="auto"/>
            <w:left w:val="none" w:sz="0" w:space="0" w:color="auto"/>
            <w:bottom w:val="none" w:sz="0" w:space="0" w:color="auto"/>
            <w:right w:val="none" w:sz="0" w:space="0" w:color="auto"/>
          </w:divBdr>
        </w:div>
        <w:div w:id="1410232410">
          <w:marLeft w:val="360"/>
          <w:marRight w:val="0"/>
          <w:marTop w:val="200"/>
          <w:marBottom w:val="0"/>
          <w:divBdr>
            <w:top w:val="none" w:sz="0" w:space="0" w:color="auto"/>
            <w:left w:val="none" w:sz="0" w:space="0" w:color="auto"/>
            <w:bottom w:val="none" w:sz="0" w:space="0" w:color="auto"/>
            <w:right w:val="none" w:sz="0" w:space="0" w:color="auto"/>
          </w:divBdr>
        </w:div>
        <w:div w:id="396587488">
          <w:marLeft w:val="1080"/>
          <w:marRight w:val="0"/>
          <w:marTop w:val="100"/>
          <w:marBottom w:val="0"/>
          <w:divBdr>
            <w:top w:val="none" w:sz="0" w:space="0" w:color="auto"/>
            <w:left w:val="none" w:sz="0" w:space="0" w:color="auto"/>
            <w:bottom w:val="none" w:sz="0" w:space="0" w:color="auto"/>
            <w:right w:val="none" w:sz="0" w:space="0" w:color="auto"/>
          </w:divBdr>
        </w:div>
        <w:div w:id="437993153">
          <w:marLeft w:val="1080"/>
          <w:marRight w:val="0"/>
          <w:marTop w:val="100"/>
          <w:marBottom w:val="0"/>
          <w:divBdr>
            <w:top w:val="none" w:sz="0" w:space="0" w:color="auto"/>
            <w:left w:val="none" w:sz="0" w:space="0" w:color="auto"/>
            <w:bottom w:val="none" w:sz="0" w:space="0" w:color="auto"/>
            <w:right w:val="none" w:sz="0" w:space="0" w:color="auto"/>
          </w:divBdr>
        </w:div>
      </w:divsChild>
    </w:div>
    <w:div w:id="222301602">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75990862">
      <w:bodyDiv w:val="1"/>
      <w:marLeft w:val="0"/>
      <w:marRight w:val="0"/>
      <w:marTop w:val="0"/>
      <w:marBottom w:val="0"/>
      <w:divBdr>
        <w:top w:val="none" w:sz="0" w:space="0" w:color="auto"/>
        <w:left w:val="none" w:sz="0" w:space="0" w:color="auto"/>
        <w:bottom w:val="none" w:sz="0" w:space="0" w:color="auto"/>
        <w:right w:val="none" w:sz="0" w:space="0" w:color="auto"/>
      </w:divBdr>
    </w:div>
    <w:div w:id="289871035">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60590995">
      <w:bodyDiv w:val="1"/>
      <w:marLeft w:val="0"/>
      <w:marRight w:val="0"/>
      <w:marTop w:val="0"/>
      <w:marBottom w:val="0"/>
      <w:divBdr>
        <w:top w:val="none" w:sz="0" w:space="0" w:color="auto"/>
        <w:left w:val="none" w:sz="0" w:space="0" w:color="auto"/>
        <w:bottom w:val="none" w:sz="0" w:space="0" w:color="auto"/>
        <w:right w:val="none" w:sz="0" w:space="0" w:color="auto"/>
      </w:divBdr>
    </w:div>
    <w:div w:id="362488579">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154482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11569953">
      <w:bodyDiv w:val="1"/>
      <w:marLeft w:val="0"/>
      <w:marRight w:val="0"/>
      <w:marTop w:val="0"/>
      <w:marBottom w:val="0"/>
      <w:divBdr>
        <w:top w:val="none" w:sz="0" w:space="0" w:color="auto"/>
        <w:left w:val="none" w:sz="0" w:space="0" w:color="auto"/>
        <w:bottom w:val="none" w:sz="0" w:space="0" w:color="auto"/>
        <w:right w:val="none" w:sz="0" w:space="0" w:color="auto"/>
      </w:divBdr>
    </w:div>
    <w:div w:id="1274169143">
      <w:bodyDiv w:val="1"/>
      <w:marLeft w:val="0"/>
      <w:marRight w:val="0"/>
      <w:marTop w:val="0"/>
      <w:marBottom w:val="0"/>
      <w:divBdr>
        <w:top w:val="none" w:sz="0" w:space="0" w:color="auto"/>
        <w:left w:val="none" w:sz="0" w:space="0" w:color="auto"/>
        <w:bottom w:val="none" w:sz="0" w:space="0" w:color="auto"/>
        <w:right w:val="none" w:sz="0" w:space="0" w:color="auto"/>
      </w:divBdr>
    </w:div>
    <w:div w:id="1299533390">
      <w:bodyDiv w:val="1"/>
      <w:marLeft w:val="0"/>
      <w:marRight w:val="0"/>
      <w:marTop w:val="0"/>
      <w:marBottom w:val="0"/>
      <w:divBdr>
        <w:top w:val="none" w:sz="0" w:space="0" w:color="auto"/>
        <w:left w:val="none" w:sz="0" w:space="0" w:color="auto"/>
        <w:bottom w:val="none" w:sz="0" w:space="0" w:color="auto"/>
        <w:right w:val="none" w:sz="0" w:space="0" w:color="auto"/>
      </w:divBdr>
      <w:divsChild>
        <w:div w:id="1187788746">
          <w:marLeft w:val="360"/>
          <w:marRight w:val="0"/>
          <w:marTop w:val="200"/>
          <w:marBottom w:val="0"/>
          <w:divBdr>
            <w:top w:val="none" w:sz="0" w:space="0" w:color="auto"/>
            <w:left w:val="none" w:sz="0" w:space="0" w:color="auto"/>
            <w:bottom w:val="none" w:sz="0" w:space="0" w:color="auto"/>
            <w:right w:val="none" w:sz="0" w:space="0" w:color="auto"/>
          </w:divBdr>
        </w:div>
      </w:divsChild>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79889921">
      <w:bodyDiv w:val="1"/>
      <w:marLeft w:val="0"/>
      <w:marRight w:val="0"/>
      <w:marTop w:val="0"/>
      <w:marBottom w:val="0"/>
      <w:divBdr>
        <w:top w:val="none" w:sz="0" w:space="0" w:color="auto"/>
        <w:left w:val="none" w:sz="0" w:space="0" w:color="auto"/>
        <w:bottom w:val="none" w:sz="0" w:space="0" w:color="auto"/>
        <w:right w:val="none" w:sz="0" w:space="0" w:color="auto"/>
      </w:divBdr>
      <w:divsChild>
        <w:div w:id="1696614748">
          <w:marLeft w:val="360"/>
          <w:marRight w:val="0"/>
          <w:marTop w:val="200"/>
          <w:marBottom w:val="0"/>
          <w:divBdr>
            <w:top w:val="none" w:sz="0" w:space="0" w:color="auto"/>
            <w:left w:val="none" w:sz="0" w:space="0" w:color="auto"/>
            <w:bottom w:val="none" w:sz="0" w:space="0" w:color="auto"/>
            <w:right w:val="none" w:sz="0" w:space="0" w:color="auto"/>
          </w:divBdr>
        </w:div>
        <w:div w:id="614335171">
          <w:marLeft w:val="1080"/>
          <w:marRight w:val="0"/>
          <w:marTop w:val="100"/>
          <w:marBottom w:val="0"/>
          <w:divBdr>
            <w:top w:val="none" w:sz="0" w:space="0" w:color="auto"/>
            <w:left w:val="none" w:sz="0" w:space="0" w:color="auto"/>
            <w:bottom w:val="none" w:sz="0" w:space="0" w:color="auto"/>
            <w:right w:val="none" w:sz="0" w:space="0" w:color="auto"/>
          </w:divBdr>
        </w:div>
        <w:div w:id="1255936485">
          <w:marLeft w:val="1080"/>
          <w:marRight w:val="0"/>
          <w:marTop w:val="100"/>
          <w:marBottom w:val="0"/>
          <w:divBdr>
            <w:top w:val="none" w:sz="0" w:space="0" w:color="auto"/>
            <w:left w:val="none" w:sz="0" w:space="0" w:color="auto"/>
            <w:bottom w:val="none" w:sz="0" w:space="0" w:color="auto"/>
            <w:right w:val="none" w:sz="0" w:space="0" w:color="auto"/>
          </w:divBdr>
        </w:div>
        <w:div w:id="1177039063">
          <w:marLeft w:val="1800"/>
          <w:marRight w:val="0"/>
          <w:marTop w:val="100"/>
          <w:marBottom w:val="0"/>
          <w:divBdr>
            <w:top w:val="none" w:sz="0" w:space="0" w:color="auto"/>
            <w:left w:val="none" w:sz="0" w:space="0" w:color="auto"/>
            <w:bottom w:val="none" w:sz="0" w:space="0" w:color="auto"/>
            <w:right w:val="none" w:sz="0" w:space="0" w:color="auto"/>
          </w:divBdr>
        </w:div>
        <w:div w:id="169831544">
          <w:marLeft w:val="1800"/>
          <w:marRight w:val="0"/>
          <w:marTop w:val="100"/>
          <w:marBottom w:val="0"/>
          <w:divBdr>
            <w:top w:val="none" w:sz="0" w:space="0" w:color="auto"/>
            <w:left w:val="none" w:sz="0" w:space="0" w:color="auto"/>
            <w:bottom w:val="none" w:sz="0" w:space="0" w:color="auto"/>
            <w:right w:val="none" w:sz="0" w:space="0" w:color="auto"/>
          </w:divBdr>
        </w:div>
      </w:divsChild>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1934418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4100629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12B4A-1B05-4C00-94D6-AC746EA0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2020-08-07T16:36:00Z</dcterms:created>
  <dcterms:modified xsi:type="dcterms:W3CDTF">2020-08-07T16:36:00Z</dcterms:modified>
</cp:coreProperties>
</file>